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08"/>
        <w:gridCol w:w="1320"/>
        <w:gridCol w:w="7920"/>
      </w:tblGrid>
      <w:tr w:rsidR="00C931BB" w:rsidRPr="009D6E8A" w14:paraId="044FADF2" w14:textId="77777777" w:rsidTr="00A1584A">
        <w:trPr>
          <w:trHeight w:val="445"/>
        </w:trPr>
        <w:tc>
          <w:tcPr>
            <w:tcW w:w="15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D2133" w14:textId="6FAA36C6" w:rsidR="00C931BB" w:rsidRPr="00BB191A" w:rsidRDefault="00C931BB" w:rsidP="00A158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Structured verification and assessment results </w:t>
            </w:r>
            <w:proofErr w:type="gramStart"/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>on the basis of</w:t>
            </w:r>
            <w:proofErr w:type="gramEnd"/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full assessment of the entire document</w:t>
            </w:r>
          </w:p>
        </w:tc>
      </w:tr>
      <w:tr w:rsidR="00C931BB" w:rsidRPr="009D6E8A" w14:paraId="0B21C39F" w14:textId="77777777" w:rsidTr="00A1584A">
        <w:trPr>
          <w:trHeight w:val="171"/>
        </w:trPr>
        <w:tc>
          <w:tcPr>
            <w:tcW w:w="15348" w:type="dxa"/>
            <w:gridSpan w:val="3"/>
            <w:tcBorders>
              <w:top w:val="single" w:sz="18" w:space="0" w:color="auto"/>
              <w:bottom w:val="nil"/>
            </w:tcBorders>
          </w:tcPr>
          <w:p w14:paraId="7FD0DFAC" w14:textId="77777777" w:rsidR="00C931BB" w:rsidRPr="009D6E8A" w:rsidRDefault="00C931BB" w:rsidP="00A1584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Clarity and transparency of elements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that</w:t>
            </w: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aim to support legal requirements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0C6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Any box ticked 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‘</w:t>
            </w:r>
            <w:r w:rsidRPr="000C676C">
              <w:rPr>
                <w:rFonts w:ascii="Times New Roman" w:hAnsi="Times New Roman" w:cs="Times New Roman"/>
                <w:bCs/>
                <w:sz w:val="20"/>
                <w:szCs w:val="20"/>
              </w:rPr>
              <w:t>Not fulfilled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Pr="000C6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shall necessarily be explained and lead to a Lack of Compliance</w:t>
            </w:r>
          </w:p>
        </w:tc>
      </w:tr>
      <w:tr w:rsidR="00C931BB" w:rsidRPr="009D6E8A" w14:paraId="40DF1F65" w14:textId="77777777" w:rsidTr="00A1584A">
        <w:trPr>
          <w:trHeight w:val="290"/>
        </w:trPr>
        <w:tc>
          <w:tcPr>
            <w:tcW w:w="7428" w:type="dxa"/>
            <w:gridSpan w:val="2"/>
            <w:tcBorders>
              <w:top w:val="nil"/>
            </w:tcBorders>
          </w:tcPr>
          <w:p w14:paraId="295A613C" w14:textId="77777777" w:rsidR="00C931BB" w:rsidRPr="009D6E8A" w:rsidRDefault="00C931BB" w:rsidP="00A1584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14:paraId="0B5116AA" w14:textId="77777777" w:rsidR="00C931BB" w:rsidRPr="009D6E8A" w:rsidRDefault="00C931BB" w:rsidP="00A1584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 of the impact on compliance / lack of compliance and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evidences</w:t>
            </w:r>
            <w:proofErr w:type="gramEnd"/>
          </w:p>
        </w:tc>
      </w:tr>
      <w:tr w:rsidR="00C931BB" w:rsidRPr="009D6E8A" w14:paraId="241C68B4" w14:textId="77777777" w:rsidTr="00A1584A">
        <w:trPr>
          <w:trHeight w:val="21"/>
        </w:trPr>
        <w:tc>
          <w:tcPr>
            <w:tcW w:w="6108" w:type="dxa"/>
          </w:tcPr>
          <w:p w14:paraId="4AC442E7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Pr="00557515">
              <w:rPr>
                <w:rFonts w:ascii="Times New Roman" w:hAnsi="Times New Roman" w:cs="Times New Roman"/>
                <w:sz w:val="18"/>
                <w:szCs w:val="18"/>
              </w:rPr>
              <w:t>Significant changes in a draft revision or a draft amendment to a harmonised standard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clearly flagged</w:t>
            </w:r>
          </w:p>
        </w:tc>
        <w:tc>
          <w:tcPr>
            <w:tcW w:w="1320" w:type="dxa"/>
          </w:tcPr>
          <w:p w14:paraId="66477042" w14:textId="6577093A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5DAA73BC" w14:textId="1267B24E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6F26D261" w14:textId="3CB9FAC0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3F61C056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4D65757C" w14:textId="77777777" w:rsidTr="00A1584A">
        <w:trPr>
          <w:trHeight w:val="21"/>
        </w:trPr>
        <w:tc>
          <w:tcPr>
            <w:tcW w:w="6108" w:type="dxa"/>
          </w:tcPr>
          <w:p w14:paraId="70E9837A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 equivalent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provided</w:t>
            </w:r>
          </w:p>
        </w:tc>
        <w:tc>
          <w:tcPr>
            <w:tcW w:w="1320" w:type="dxa"/>
          </w:tcPr>
          <w:p w14:paraId="4965C11A" w14:textId="2495BE80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5FADDDEE" w14:textId="3597ACF2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2C27EB59" w14:textId="26B033D5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127C80CA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249A8E86" w14:textId="77777777" w:rsidTr="00A1584A">
        <w:trPr>
          <w:trHeight w:val="170"/>
        </w:trPr>
        <w:tc>
          <w:tcPr>
            <w:tcW w:w="6108" w:type="dxa"/>
          </w:tcPr>
          <w:p w14:paraId="4859076A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1.3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a clear and precise description of the relationship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given</w:t>
            </w:r>
          </w:p>
        </w:tc>
        <w:tc>
          <w:tcPr>
            <w:tcW w:w="1320" w:type="dxa"/>
          </w:tcPr>
          <w:p w14:paraId="1A7E4088" w14:textId="21BE3BB8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87E5EC5" w14:textId="7363B25E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2306A2B4" w14:textId="6983E35A" w:rsidR="00C931BB" w:rsidRPr="00EE5B28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509CA609" w14:textId="22A9E724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3ADEBFA1" w14:textId="77777777" w:rsidTr="00A1584A">
        <w:trPr>
          <w:trHeight w:val="21"/>
        </w:trPr>
        <w:tc>
          <w:tcPr>
            <w:tcW w:w="6108" w:type="dxa"/>
          </w:tcPr>
          <w:p w14:paraId="585A69B1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1.4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refers to clauses or normative references contained in the document. Annex Z’ does not refer to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another standard or to another 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including a legal act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not supported by the document</w:t>
            </w:r>
          </w:p>
        </w:tc>
        <w:tc>
          <w:tcPr>
            <w:tcW w:w="1320" w:type="dxa"/>
          </w:tcPr>
          <w:p w14:paraId="1F95A24A" w14:textId="43ECEDDF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A7FB571" w14:textId="217395D0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2060919C" w14:textId="64630ADD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33BED42E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18BE51FE" w14:textId="77777777" w:rsidTr="00A1584A">
        <w:trPr>
          <w:trHeight w:val="21"/>
        </w:trPr>
        <w:tc>
          <w:tcPr>
            <w:tcW w:w="6108" w:type="dxa"/>
          </w:tcPr>
          <w:p w14:paraId="0E6A51F1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claims a relationship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with element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of a document supporting relevant legal requirements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not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claim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relationship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with element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of a document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supporting relevant legal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requirements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20" w:type="dxa"/>
          </w:tcPr>
          <w:p w14:paraId="1FD644D9" w14:textId="1838F1A6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A1BF871" w14:textId="0C68AC82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1E170F6C" w14:textId="36B90CC5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75B76C30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682DD4B9" w14:textId="77777777" w:rsidTr="00A1584A">
        <w:trPr>
          <w:trHeight w:val="274"/>
        </w:trPr>
        <w:tc>
          <w:tcPr>
            <w:tcW w:w="15348" w:type="dxa"/>
            <w:gridSpan w:val="3"/>
          </w:tcPr>
          <w:p w14:paraId="585C4E1F" w14:textId="77777777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Normative references</w:t>
            </w:r>
          </w:p>
        </w:tc>
      </w:tr>
      <w:tr w:rsidR="00C931BB" w:rsidRPr="009D6E8A" w14:paraId="1C91F6C2" w14:textId="77777777" w:rsidTr="00A1584A">
        <w:trPr>
          <w:trHeight w:val="21"/>
        </w:trPr>
        <w:tc>
          <w:tcPr>
            <w:tcW w:w="6108" w:type="dxa"/>
          </w:tcPr>
          <w:p w14:paraId="4146B8C4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2.1 Document contains normative references the suitability and availability of which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have been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verified,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assessed</w:t>
            </w:r>
            <w:proofErr w:type="gramEnd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and reported in the ‘harmonised context’</w:t>
            </w:r>
          </w:p>
        </w:tc>
        <w:tc>
          <w:tcPr>
            <w:tcW w:w="1320" w:type="dxa"/>
          </w:tcPr>
          <w:p w14:paraId="512AFED5" w14:textId="5FC6B339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97F2417" w14:textId="379DC7C5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1D988A15" w14:textId="48C4E45D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7FF607B0" w14:textId="6B150739" w:rsidR="00C931BB" w:rsidRPr="00C2589C" w:rsidRDefault="00C931BB" w:rsidP="00A1584A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931BB" w:rsidRPr="009D6E8A" w14:paraId="67839CEE" w14:textId="77777777" w:rsidTr="00A1584A">
        <w:trPr>
          <w:trHeight w:val="21"/>
        </w:trPr>
        <w:tc>
          <w:tcPr>
            <w:tcW w:w="15348" w:type="dxa"/>
            <w:gridSpan w:val="3"/>
          </w:tcPr>
          <w:p w14:paraId="26B421DB" w14:textId="77777777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Scope of the document</w:t>
            </w:r>
          </w:p>
        </w:tc>
      </w:tr>
      <w:tr w:rsidR="00C931BB" w:rsidRPr="009D6E8A" w14:paraId="761882A6" w14:textId="77777777" w:rsidTr="00A1584A">
        <w:trPr>
          <w:trHeight w:val="698"/>
        </w:trPr>
        <w:tc>
          <w:tcPr>
            <w:tcW w:w="6108" w:type="dxa"/>
          </w:tcPr>
          <w:p w14:paraId="3F285684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he scope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indicates that the document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on its own for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 verifiable compliance of a product against legal requirements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(ii)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a method or criteria for declaring or assessing performance of a product</w:t>
            </w:r>
          </w:p>
        </w:tc>
        <w:tc>
          <w:tcPr>
            <w:tcW w:w="1320" w:type="dxa"/>
          </w:tcPr>
          <w:p w14:paraId="098BC9B1" w14:textId="6DFB17B1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52C54691" w14:textId="2ABE35B5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75311C83" w14:textId="0958CC86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781FC6BF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27E80FB8" w14:textId="77777777" w:rsidTr="00A1584A">
        <w:trPr>
          <w:trHeight w:val="142"/>
        </w:trPr>
        <w:tc>
          <w:tcPr>
            <w:tcW w:w="6108" w:type="dxa"/>
          </w:tcPr>
          <w:p w14:paraId="2558FE7C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cope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corresponds with the one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initially requested by the standardisation request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No additional category of products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included and no category of products is excluded against the requirements in the standardisation request</w:t>
            </w:r>
          </w:p>
        </w:tc>
        <w:tc>
          <w:tcPr>
            <w:tcW w:w="1320" w:type="dxa"/>
          </w:tcPr>
          <w:p w14:paraId="6227AF57" w14:textId="2A8E6805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277E83B5" w14:textId="0667503D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3B8F8E32" w14:textId="6DA65CB3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0D4EED08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4E9B96FC" w14:textId="77777777" w:rsidTr="00A1584A">
        <w:trPr>
          <w:trHeight w:val="272"/>
        </w:trPr>
        <w:tc>
          <w:tcPr>
            <w:tcW w:w="15348" w:type="dxa"/>
            <w:gridSpan w:val="3"/>
          </w:tcPr>
          <w:p w14:paraId="0CAFC815" w14:textId="77777777" w:rsidR="00C931BB" w:rsidRPr="00FC665C" w:rsidRDefault="00C931BB" w:rsidP="00A15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Requirements, provisions and guidance addressed by clauses and annexes including relevant normative references and informative elements </w:t>
            </w:r>
          </w:p>
        </w:tc>
      </w:tr>
      <w:tr w:rsidR="00C931BB" w:rsidRPr="009D6E8A" w14:paraId="2C9AC0FC" w14:textId="77777777" w:rsidTr="00A1584A">
        <w:trPr>
          <w:trHeight w:val="530"/>
        </w:trPr>
        <w:tc>
          <w:tcPr>
            <w:tcW w:w="6108" w:type="dxa"/>
          </w:tcPr>
          <w:p w14:paraId="41FC14B8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There are no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requirement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, provision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pieces of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guidance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specifically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addressed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economic operators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’,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(ii)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‘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neutrality principle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is respected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(iii)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There are no inappropriate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requirement, provision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pieces of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guidance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limiting the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placing on the market (or service provision) </w:t>
            </w:r>
          </w:p>
        </w:tc>
        <w:tc>
          <w:tcPr>
            <w:tcW w:w="1320" w:type="dxa"/>
          </w:tcPr>
          <w:p w14:paraId="7EB3A225" w14:textId="42A2549C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C605456" w14:textId="7AEF314D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26903A7D" w14:textId="6E051C37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06209FAF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310B6C6C" w14:textId="77777777" w:rsidTr="00A1584A">
        <w:trPr>
          <w:trHeight w:val="21"/>
        </w:trPr>
        <w:tc>
          <w:tcPr>
            <w:tcW w:w="6108" w:type="dxa"/>
          </w:tcPr>
          <w:p w14:paraId="47EA572B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requirement,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provision</w:t>
            </w:r>
            <w:proofErr w:type="gramEnd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pieces of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guidance (although dealing with a regulated product/service) goes beyond the scope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legal requirements</w:t>
            </w:r>
          </w:p>
        </w:tc>
        <w:tc>
          <w:tcPr>
            <w:tcW w:w="1320" w:type="dxa"/>
          </w:tcPr>
          <w:p w14:paraId="041EDB60" w14:textId="7138337E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2ED2A1AE" w14:textId="0B0541F9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619165B4" w14:textId="21C020A7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21F78DE6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68753E45" w14:textId="77777777" w:rsidTr="00A1584A">
        <w:trPr>
          <w:trHeight w:val="21"/>
        </w:trPr>
        <w:tc>
          <w:tcPr>
            <w:tcW w:w="6108" w:type="dxa"/>
          </w:tcPr>
          <w:p w14:paraId="1E4B4A19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4.3 The structure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normative element (when a document goes beyond the scope of legal requirements) makes 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evident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distinguish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between ‘harmonised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elements’</w:t>
            </w:r>
            <w:proofErr w:type="gramEnd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and other content</w:t>
            </w:r>
          </w:p>
        </w:tc>
        <w:tc>
          <w:tcPr>
            <w:tcW w:w="1320" w:type="dxa"/>
          </w:tcPr>
          <w:p w14:paraId="496652E9" w14:textId="1ABED871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lastRenderedPageBreak/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5878677" w14:textId="4B181561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6B3E6A8E" w14:textId="3F262CA0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lastRenderedPageBreak/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548AB602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72CECDA2" w14:textId="77777777" w:rsidTr="00A1584A">
        <w:trPr>
          <w:trHeight w:val="21"/>
        </w:trPr>
        <w:tc>
          <w:tcPr>
            <w:tcW w:w="6108" w:type="dxa"/>
          </w:tcPr>
          <w:p w14:paraId="74E2CB35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l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egal text is repeated without providing any added value or 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 not repeated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in slightly modified form</w:t>
            </w:r>
          </w:p>
        </w:tc>
        <w:tc>
          <w:tcPr>
            <w:tcW w:w="1320" w:type="dxa"/>
          </w:tcPr>
          <w:p w14:paraId="3B9AB0E8" w14:textId="122F026D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3881897A" w14:textId="629CCA94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5C83D4F3" w14:textId="6AE23EAC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488D60FE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612E7023" w14:textId="77777777" w:rsidTr="00A1584A">
        <w:trPr>
          <w:trHeight w:val="21"/>
        </w:trPr>
        <w:tc>
          <w:tcPr>
            <w:tcW w:w="6108" w:type="dxa"/>
          </w:tcPr>
          <w:p w14:paraId="02B3A622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 does not contain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non-specific or non-verifiable requirement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provision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piece of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guidance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leaving it to a manufacturer or another standard user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decide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how to apply</w:t>
            </w:r>
          </w:p>
        </w:tc>
        <w:tc>
          <w:tcPr>
            <w:tcW w:w="1320" w:type="dxa"/>
          </w:tcPr>
          <w:p w14:paraId="40F91794" w14:textId="6B667795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2F0A6F92" w14:textId="52C63F1D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3E67069C" w14:textId="4677EB92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11756EF5" w14:textId="20C309EC" w:rsidR="00C931BB" w:rsidRPr="00034841" w:rsidRDefault="00C931BB" w:rsidP="00A1584A">
            <w:pPr>
              <w:rPr>
                <w:rFonts w:ascii="Times New Roman" w:hAnsi="Times New Roman" w:cs="Times New Roman"/>
              </w:rPr>
            </w:pPr>
          </w:p>
        </w:tc>
      </w:tr>
      <w:tr w:rsidR="00C931BB" w:rsidRPr="009D6E8A" w14:paraId="5AD0396C" w14:textId="77777777" w:rsidTr="00A1584A">
        <w:trPr>
          <w:trHeight w:val="236"/>
        </w:trPr>
        <w:tc>
          <w:tcPr>
            <w:tcW w:w="6108" w:type="dxa"/>
          </w:tcPr>
          <w:p w14:paraId="4D90E553" w14:textId="77777777" w:rsidR="00C931BB" w:rsidRPr="009D6E8A" w:rsidRDefault="00C931BB" w:rsidP="00A15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legal requirement is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insufficiently or inappropriately covered, </w:t>
            </w:r>
            <w:proofErr w:type="gramStart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satisfied</w:t>
            </w:r>
            <w:proofErr w:type="gramEnd"/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or dealt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6FD">
              <w:rPr>
                <w:rFonts w:ascii="Times New Roman" w:hAnsi="Times New Roman" w:cs="Times New Roman"/>
                <w:b/>
                <w:sz w:val="18"/>
                <w:szCs w:val="18"/>
              </w:rPr>
              <w:t>(ii)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not covered at all in cases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>ere ‘coverage’ is claimed (in ‘Annex Z’)</w:t>
            </w:r>
          </w:p>
        </w:tc>
        <w:tc>
          <w:tcPr>
            <w:tcW w:w="1320" w:type="dxa"/>
          </w:tcPr>
          <w:p w14:paraId="4ABA8F99" w14:textId="26FA3A7E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223B061" w14:textId="0206351C" w:rsidR="00C931BB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  <w:p w14:paraId="5E32643C" w14:textId="77902361" w:rsidR="00C931BB" w:rsidRPr="00FC665C" w:rsidRDefault="00C931BB" w:rsidP="00A1584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665C">
              <w:rPr>
                <w:rFonts w:ascii="MS Gothic" w:eastAsia="MS Gothic" w:hAnsi="MS Gothic" w:cs="Times New Roman" w:hint="eastAsia"/>
                <w:b/>
                <w:bCs/>
                <w:sz w:val="16"/>
                <w:szCs w:val="16"/>
              </w:rPr>
              <w:t>☐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</w:tc>
        <w:tc>
          <w:tcPr>
            <w:tcW w:w="7920" w:type="dxa"/>
          </w:tcPr>
          <w:p w14:paraId="4E3C3A52" w14:textId="77777777" w:rsidR="00C931BB" w:rsidRPr="00700EFD" w:rsidRDefault="00C931BB" w:rsidP="00A1584A">
            <w:pPr>
              <w:rPr>
                <w:rFonts w:ascii="Times New Roman" w:hAnsi="Times New Roman" w:cs="Times New Roman"/>
              </w:rPr>
            </w:pPr>
          </w:p>
          <w:p w14:paraId="77964489" w14:textId="77777777" w:rsidR="00C931BB" w:rsidRPr="00034841" w:rsidRDefault="00C931BB" w:rsidP="00A158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989C9C3" w14:textId="77777777" w:rsidR="00A9644C" w:rsidRDefault="00A9644C" w:rsidP="00F27C1E"/>
    <w:sectPr w:rsidR="00A9644C" w:rsidSect="00C931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1BB"/>
    <w:rsid w:val="00852C78"/>
    <w:rsid w:val="00A9644C"/>
    <w:rsid w:val="00C931BB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E47"/>
  <w15:chartTrackingRefBased/>
  <w15:docId w15:val="{714892B9-A022-4465-B43D-1937425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9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Constant</dc:creator>
  <cp:keywords/>
  <dc:description/>
  <cp:lastModifiedBy>Kohler Constant</cp:lastModifiedBy>
  <cp:revision>1</cp:revision>
  <dcterms:created xsi:type="dcterms:W3CDTF">2021-09-21T09:52:00Z</dcterms:created>
  <dcterms:modified xsi:type="dcterms:W3CDTF">2021-09-21T09:54:00Z</dcterms:modified>
</cp:coreProperties>
</file>